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F19321" w14:textId="77777777" w:rsidR="00AD67FA" w:rsidRDefault="00B7585D">
      <w:pPr>
        <w:spacing w:beforeLines="50" w:before="156" w:afterLines="50" w:after="156"/>
        <w:jc w:val="center"/>
        <w:rPr>
          <w:rFonts w:ascii="楷体_GB2312" w:eastAsia="楷体_GB2312" w:hAnsi="Times New Roman" w:cs="Times New Roman"/>
          <w:b/>
          <w:bCs/>
          <w:sz w:val="32"/>
          <w:szCs w:val="32"/>
        </w:rPr>
      </w:pPr>
      <w:r>
        <w:rPr>
          <w:rFonts w:ascii="楷体_GB2312" w:eastAsia="楷体_GB2312" w:hAnsi="Times New Roman" w:cs="Times New Roman" w:hint="eastAsia"/>
          <w:b/>
          <w:bCs/>
          <w:sz w:val="32"/>
          <w:szCs w:val="32"/>
        </w:rPr>
        <w:t>北京京城机电股份有限公司独立非执行董事</w:t>
      </w:r>
    </w:p>
    <w:p w14:paraId="7712D0AA" w14:textId="1E79855D" w:rsidR="00845DBC" w:rsidRPr="00845DBC" w:rsidRDefault="00845DBC" w:rsidP="00845DBC">
      <w:pPr>
        <w:spacing w:beforeLines="50" w:before="156" w:afterLines="50" w:after="156"/>
        <w:jc w:val="center"/>
        <w:rPr>
          <w:rFonts w:ascii="楷体_GB2312" w:eastAsia="楷体_GB2312" w:hAnsi="Times New Roman" w:cs="Times New Roman"/>
          <w:b/>
          <w:bCs/>
          <w:sz w:val="32"/>
          <w:szCs w:val="32"/>
        </w:rPr>
      </w:pPr>
      <w:r w:rsidRPr="00845DBC">
        <w:rPr>
          <w:rFonts w:ascii="楷体_GB2312" w:eastAsia="楷体_GB2312" w:hAnsi="Times New Roman" w:cs="Times New Roman" w:hint="eastAsia"/>
          <w:b/>
          <w:bCs/>
          <w:sz w:val="32"/>
          <w:szCs w:val="32"/>
        </w:rPr>
        <w:t>关于评估机构的独立性、评估假设前提的合理性、评估方法与评估目的的相关性及评估定价的公允性发表的独立意见</w:t>
      </w:r>
    </w:p>
    <w:p w14:paraId="1D547B08" w14:textId="12C536BA" w:rsidR="00B52F7E" w:rsidRPr="00B52F7E" w:rsidRDefault="00B52F7E" w:rsidP="00B52F7E">
      <w:pPr>
        <w:spacing w:line="440" w:lineRule="exact"/>
        <w:ind w:firstLineChars="200" w:firstLine="560"/>
        <w:rPr>
          <w:rFonts w:ascii="楷体" w:eastAsia="楷体" w:hAnsi="楷体" w:cs="Times New Roman"/>
          <w:sz w:val="28"/>
          <w:szCs w:val="28"/>
        </w:rPr>
      </w:pPr>
      <w:r w:rsidRPr="00B52F7E">
        <w:rPr>
          <w:rFonts w:ascii="楷体" w:eastAsia="楷体" w:hAnsi="楷体" w:cs="Times New Roman" w:hint="eastAsia"/>
          <w:sz w:val="28"/>
          <w:szCs w:val="28"/>
        </w:rPr>
        <w:t>北京京城机电股份有限公司（以下简称“公司”或“上市公司”）拟向</w:t>
      </w:r>
      <w:r w:rsidRPr="00B52F7E">
        <w:rPr>
          <w:rFonts w:ascii="楷体" w:eastAsia="楷体" w:hAnsi="楷体" w:cs="Times New Roman"/>
          <w:sz w:val="28"/>
          <w:szCs w:val="28"/>
        </w:rPr>
        <w:t>李红等17个自然人及青岛艾特诺经济信息咨询有限公司</w:t>
      </w:r>
      <w:r w:rsidRPr="00B52F7E">
        <w:rPr>
          <w:rFonts w:ascii="楷体" w:eastAsia="楷体" w:hAnsi="楷体" w:cs="Times New Roman" w:hint="eastAsia"/>
          <w:sz w:val="28"/>
          <w:szCs w:val="28"/>
        </w:rPr>
        <w:t>发行股份及支付现金购买其持有的</w:t>
      </w:r>
      <w:r w:rsidRPr="00B52F7E">
        <w:rPr>
          <w:rFonts w:ascii="楷体" w:eastAsia="楷体" w:hAnsi="楷体" w:cs="Times New Roman"/>
          <w:sz w:val="28"/>
          <w:szCs w:val="28"/>
        </w:rPr>
        <w:t>青岛北洋天青数联智能股份有限公司</w:t>
      </w:r>
      <w:r w:rsidRPr="00B52F7E">
        <w:rPr>
          <w:rFonts w:ascii="楷体" w:eastAsia="楷体" w:hAnsi="楷体" w:cs="Times New Roman" w:hint="eastAsia"/>
          <w:sz w:val="28"/>
          <w:szCs w:val="28"/>
        </w:rPr>
        <w:t>（以下简称“北洋天青”）</w:t>
      </w:r>
      <w:r w:rsidRPr="00B52F7E">
        <w:rPr>
          <w:rFonts w:ascii="楷体" w:eastAsia="楷体" w:hAnsi="楷体" w:cs="Times New Roman"/>
          <w:sz w:val="28"/>
          <w:szCs w:val="28"/>
        </w:rPr>
        <w:t>80.00</w:t>
      </w:r>
      <w:r w:rsidRPr="00B52F7E">
        <w:rPr>
          <w:rFonts w:ascii="楷体" w:eastAsia="楷体" w:hAnsi="楷体" w:cs="Times New Roman" w:hint="eastAsia"/>
          <w:sz w:val="28"/>
          <w:szCs w:val="28"/>
        </w:rPr>
        <w:t>%的股份，并向不超过</w:t>
      </w:r>
      <w:r w:rsidRPr="00B52F7E">
        <w:rPr>
          <w:rFonts w:ascii="楷体" w:eastAsia="楷体" w:hAnsi="楷体" w:cs="Times New Roman"/>
          <w:sz w:val="28"/>
          <w:szCs w:val="28"/>
        </w:rPr>
        <w:t>35</w:t>
      </w:r>
      <w:r w:rsidRPr="00B52F7E">
        <w:rPr>
          <w:rFonts w:ascii="楷体" w:eastAsia="楷体" w:hAnsi="楷体" w:cs="Times New Roman" w:hint="eastAsia"/>
          <w:sz w:val="28"/>
          <w:szCs w:val="28"/>
        </w:rPr>
        <w:t>名投资者非公开发行股份募集配套资金（以下简称“本次交易”）。</w:t>
      </w:r>
    </w:p>
    <w:p w14:paraId="4FA81C6F" w14:textId="35D1DCD0" w:rsidR="00845DBC" w:rsidRPr="00845DBC" w:rsidRDefault="00845DBC" w:rsidP="00845DBC">
      <w:pPr>
        <w:spacing w:line="440" w:lineRule="exact"/>
        <w:ind w:firstLineChars="200" w:firstLine="560"/>
        <w:rPr>
          <w:rFonts w:ascii="楷体" w:eastAsia="楷体" w:hAnsi="楷体" w:cs="Times New Roman"/>
          <w:sz w:val="28"/>
          <w:szCs w:val="28"/>
        </w:rPr>
      </w:pPr>
      <w:bookmarkStart w:id="0" w:name="_Hlk7532063"/>
      <w:r w:rsidRPr="00845DBC">
        <w:rPr>
          <w:rFonts w:ascii="楷体" w:eastAsia="楷体" w:hAnsi="楷体" w:cs="Times New Roman" w:hint="eastAsia"/>
          <w:sz w:val="28"/>
          <w:szCs w:val="28"/>
        </w:rPr>
        <w:t>根据《公司法》</w:t>
      </w:r>
      <w:r w:rsidR="00D25861">
        <w:rPr>
          <w:rFonts w:ascii="楷体" w:eastAsia="楷体" w:hAnsi="楷体" w:cs="Times New Roman" w:hint="eastAsia"/>
          <w:sz w:val="28"/>
          <w:szCs w:val="28"/>
        </w:rPr>
        <w:t>、</w:t>
      </w:r>
      <w:r w:rsidRPr="00845DBC">
        <w:rPr>
          <w:rFonts w:ascii="楷体" w:eastAsia="楷体" w:hAnsi="楷体" w:cs="Times New Roman" w:hint="eastAsia"/>
          <w:sz w:val="28"/>
          <w:szCs w:val="28"/>
        </w:rPr>
        <w:t>《证券法》</w:t>
      </w:r>
      <w:r w:rsidR="00D25861">
        <w:rPr>
          <w:rFonts w:ascii="楷体" w:eastAsia="楷体" w:hAnsi="楷体" w:cs="Times New Roman" w:hint="eastAsia"/>
          <w:sz w:val="28"/>
          <w:szCs w:val="28"/>
        </w:rPr>
        <w:t>、</w:t>
      </w:r>
      <w:r w:rsidRPr="00845DBC">
        <w:rPr>
          <w:rFonts w:ascii="楷体" w:eastAsia="楷体" w:hAnsi="楷体" w:cs="Times New Roman" w:hint="eastAsia"/>
          <w:sz w:val="28"/>
          <w:szCs w:val="28"/>
        </w:rPr>
        <w:t>《重组管理办法》</w:t>
      </w:r>
      <w:r w:rsidR="00D25861">
        <w:rPr>
          <w:rFonts w:ascii="楷体" w:eastAsia="楷体" w:hAnsi="楷体" w:cs="Times New Roman" w:hint="eastAsia"/>
          <w:sz w:val="28"/>
          <w:szCs w:val="28"/>
        </w:rPr>
        <w:t>、</w:t>
      </w:r>
      <w:r w:rsidRPr="00845DBC">
        <w:rPr>
          <w:rFonts w:ascii="楷体" w:eastAsia="楷体" w:hAnsi="楷体" w:cs="Times New Roman" w:hint="eastAsia"/>
          <w:sz w:val="28"/>
          <w:szCs w:val="28"/>
        </w:rPr>
        <w:t>《证券发行管理办法》</w:t>
      </w:r>
      <w:r w:rsidR="00D25861">
        <w:rPr>
          <w:rFonts w:ascii="楷体" w:eastAsia="楷体" w:hAnsi="楷体" w:cs="Times New Roman" w:hint="eastAsia"/>
          <w:sz w:val="28"/>
          <w:szCs w:val="28"/>
        </w:rPr>
        <w:t>、</w:t>
      </w:r>
      <w:r w:rsidRPr="00845DBC">
        <w:rPr>
          <w:rFonts w:ascii="楷体" w:eastAsia="楷体" w:hAnsi="楷体" w:cs="Times New Roman" w:hint="eastAsia"/>
          <w:sz w:val="28"/>
          <w:szCs w:val="28"/>
        </w:rPr>
        <w:t>《非公开发行股票实施细则》</w:t>
      </w:r>
      <w:r w:rsidR="00D25861">
        <w:rPr>
          <w:rFonts w:ascii="楷体" w:eastAsia="楷体" w:hAnsi="楷体" w:cs="Times New Roman" w:hint="eastAsia"/>
          <w:sz w:val="28"/>
          <w:szCs w:val="28"/>
        </w:rPr>
        <w:t>、</w:t>
      </w:r>
      <w:r w:rsidRPr="00845DBC">
        <w:rPr>
          <w:rFonts w:ascii="楷体" w:eastAsia="楷体" w:hAnsi="楷体" w:cs="Times New Roman" w:hint="eastAsia"/>
          <w:sz w:val="28"/>
          <w:szCs w:val="28"/>
        </w:rPr>
        <w:t>《关于在上市公司建立独立董事制度的指导意见》</w:t>
      </w:r>
      <w:r w:rsidR="00D25861">
        <w:rPr>
          <w:rFonts w:ascii="楷体" w:eastAsia="楷体" w:hAnsi="楷体" w:cs="Times New Roman" w:hint="eastAsia"/>
          <w:sz w:val="28"/>
          <w:szCs w:val="28"/>
        </w:rPr>
        <w:t>、</w:t>
      </w:r>
      <w:r w:rsidRPr="00845DBC">
        <w:rPr>
          <w:rFonts w:ascii="楷体" w:eastAsia="楷体" w:hAnsi="楷体" w:cs="Times New Roman" w:hint="eastAsia"/>
          <w:sz w:val="28"/>
          <w:szCs w:val="28"/>
        </w:rPr>
        <w:t>《上海证券交易所股票上市规则》等法律、法规、规范性文件及公司章程的有关规定，公司独立董事本着认真、负责的态度，基于独立、审慎、客观的立场，审阅了公司本次交易的相关文件，并就本次交易评估机构的独立性、评估假设前提的合理性、评估方法与评估目的的相关性及评估定价的公允性发表如下独立意见：</w:t>
      </w:r>
    </w:p>
    <w:p w14:paraId="7F57B589" w14:textId="3068D5DE" w:rsidR="00845DBC" w:rsidRPr="00845DBC" w:rsidRDefault="00845DBC" w:rsidP="00845DBC">
      <w:pPr>
        <w:spacing w:line="440" w:lineRule="exact"/>
        <w:ind w:firstLineChars="200" w:firstLine="560"/>
        <w:rPr>
          <w:rFonts w:ascii="楷体" w:eastAsia="楷体" w:hAnsi="楷体" w:cs="Times New Roman"/>
          <w:sz w:val="28"/>
          <w:szCs w:val="28"/>
        </w:rPr>
      </w:pPr>
      <w:bookmarkStart w:id="1" w:name="a0"/>
      <w:r>
        <w:rPr>
          <w:rFonts w:ascii="楷体" w:eastAsia="楷体" w:hAnsi="楷体" w:cs="Times New Roman" w:hint="eastAsia"/>
          <w:sz w:val="28"/>
          <w:szCs w:val="28"/>
        </w:rPr>
        <w:t>一、</w:t>
      </w:r>
      <w:r w:rsidRPr="00845DBC">
        <w:rPr>
          <w:rFonts w:ascii="楷体" w:eastAsia="楷体" w:hAnsi="楷体" w:cs="Times New Roman" w:hint="eastAsia"/>
          <w:sz w:val="28"/>
          <w:szCs w:val="28"/>
        </w:rPr>
        <w:t>评估机构的独立性</w:t>
      </w:r>
      <w:bookmarkEnd w:id="1"/>
    </w:p>
    <w:p w14:paraId="62DC3DCE" w14:textId="2D05755D" w:rsidR="00845DBC" w:rsidRPr="00845DBC" w:rsidRDefault="00845DBC" w:rsidP="00845DBC">
      <w:pPr>
        <w:spacing w:line="440" w:lineRule="exact"/>
        <w:ind w:firstLineChars="200" w:firstLine="560"/>
        <w:rPr>
          <w:rFonts w:ascii="楷体" w:eastAsia="楷体" w:hAnsi="楷体" w:cs="Times New Roman"/>
          <w:sz w:val="28"/>
          <w:szCs w:val="28"/>
        </w:rPr>
      </w:pPr>
      <w:r w:rsidRPr="00845DBC">
        <w:rPr>
          <w:rFonts w:ascii="楷体" w:eastAsia="楷体" w:hAnsi="楷体" w:cs="Times New Roman" w:hint="eastAsia"/>
          <w:sz w:val="28"/>
          <w:szCs w:val="28"/>
        </w:rPr>
        <w:t>本次交易聘请的评估机构为</w:t>
      </w:r>
      <w:r w:rsidR="003753B4">
        <w:rPr>
          <w:rFonts w:ascii="楷体" w:eastAsia="楷体" w:hAnsi="楷体" w:cs="Times New Roman" w:hint="eastAsia"/>
          <w:sz w:val="28"/>
          <w:szCs w:val="28"/>
        </w:rPr>
        <w:t>北京中同华资产评估有限公司</w:t>
      </w:r>
      <w:r w:rsidRPr="00845DBC">
        <w:rPr>
          <w:rFonts w:ascii="楷体" w:eastAsia="楷体" w:hAnsi="楷体" w:cs="Times New Roman" w:hint="eastAsia"/>
          <w:sz w:val="28"/>
          <w:szCs w:val="28"/>
        </w:rPr>
        <w:t>，该评估机构具有相关部门颁发的评估资格证书和证券、期货业务资格。本次评估机构的选聘程序合法、合规，除业务关系外，评估机构及其经办评估师与公司、交易对方、标的公司均不存在关联关系，亦不存在除专业收费外现实的和预期的利益或冲突，评估机构具有独立性。</w:t>
      </w:r>
    </w:p>
    <w:p w14:paraId="363BFD8D" w14:textId="68B9D5E6" w:rsidR="00845DBC" w:rsidRPr="00845DBC" w:rsidRDefault="00845DBC" w:rsidP="00845DBC">
      <w:pPr>
        <w:spacing w:line="440" w:lineRule="exact"/>
        <w:ind w:firstLineChars="200" w:firstLine="560"/>
        <w:rPr>
          <w:rFonts w:ascii="楷体" w:eastAsia="楷体" w:hAnsi="楷体" w:cs="Times New Roman"/>
          <w:sz w:val="28"/>
          <w:szCs w:val="28"/>
        </w:rPr>
      </w:pPr>
      <w:bookmarkStart w:id="2" w:name="a1"/>
      <w:r>
        <w:rPr>
          <w:rFonts w:ascii="楷体" w:eastAsia="楷体" w:hAnsi="楷体" w:cs="Times New Roman" w:hint="eastAsia"/>
          <w:sz w:val="28"/>
          <w:szCs w:val="28"/>
        </w:rPr>
        <w:t>二、</w:t>
      </w:r>
      <w:r w:rsidRPr="00845DBC">
        <w:rPr>
          <w:rFonts w:ascii="楷体" w:eastAsia="楷体" w:hAnsi="楷体" w:cs="Times New Roman" w:hint="eastAsia"/>
          <w:sz w:val="28"/>
          <w:szCs w:val="28"/>
        </w:rPr>
        <w:t>评估假设前提的合理性</w:t>
      </w:r>
      <w:bookmarkEnd w:id="2"/>
    </w:p>
    <w:p w14:paraId="367ACB69" w14:textId="07E3E6BD" w:rsidR="00845DBC" w:rsidRPr="00845DBC" w:rsidRDefault="00845DBC" w:rsidP="00845DBC">
      <w:pPr>
        <w:spacing w:line="440" w:lineRule="exact"/>
        <w:ind w:firstLineChars="200" w:firstLine="560"/>
        <w:rPr>
          <w:rFonts w:ascii="楷体" w:eastAsia="楷体" w:hAnsi="楷体" w:cs="Times New Roman"/>
          <w:sz w:val="28"/>
          <w:szCs w:val="28"/>
        </w:rPr>
      </w:pPr>
      <w:r w:rsidRPr="00845DBC">
        <w:rPr>
          <w:rFonts w:ascii="楷体" w:eastAsia="楷体" w:hAnsi="楷体" w:cs="Times New Roman" w:hint="eastAsia"/>
          <w:sz w:val="28"/>
          <w:szCs w:val="28"/>
        </w:rPr>
        <w:t>本次交易相关评估报告的评估假设前提符合国家有关法规和规定，遵循了市场通用的惯例及资产评估准则，符合评估对象的实际情况，评估假设前提具有合理性。</w:t>
      </w:r>
    </w:p>
    <w:p w14:paraId="1FDA5609" w14:textId="42653AB2" w:rsidR="00845DBC" w:rsidRPr="00845DBC" w:rsidRDefault="00845DBC" w:rsidP="00845DBC">
      <w:pPr>
        <w:spacing w:line="440" w:lineRule="exact"/>
        <w:ind w:firstLineChars="200" w:firstLine="560"/>
        <w:rPr>
          <w:rFonts w:ascii="楷体" w:eastAsia="楷体" w:hAnsi="楷体" w:cs="Times New Roman"/>
          <w:sz w:val="28"/>
          <w:szCs w:val="28"/>
        </w:rPr>
      </w:pPr>
      <w:bookmarkStart w:id="3" w:name="a2"/>
      <w:r>
        <w:rPr>
          <w:rFonts w:ascii="楷体" w:eastAsia="楷体" w:hAnsi="楷体" w:cs="Times New Roman" w:hint="eastAsia"/>
          <w:sz w:val="28"/>
          <w:szCs w:val="28"/>
        </w:rPr>
        <w:t>三、</w:t>
      </w:r>
      <w:r w:rsidRPr="00845DBC">
        <w:rPr>
          <w:rFonts w:ascii="楷体" w:eastAsia="楷体" w:hAnsi="楷体" w:cs="Times New Roman" w:hint="eastAsia"/>
          <w:sz w:val="28"/>
          <w:szCs w:val="28"/>
        </w:rPr>
        <w:t>评估方法与评估目的的相关性</w:t>
      </w:r>
      <w:bookmarkEnd w:id="3"/>
    </w:p>
    <w:p w14:paraId="16235769" w14:textId="7712336E" w:rsidR="00845DBC" w:rsidRPr="00845DBC" w:rsidRDefault="00845DBC" w:rsidP="00845DBC">
      <w:pPr>
        <w:spacing w:line="440" w:lineRule="exact"/>
        <w:ind w:firstLineChars="200" w:firstLine="560"/>
        <w:rPr>
          <w:rFonts w:ascii="楷体" w:eastAsia="楷体" w:hAnsi="楷体" w:cs="Times New Roman"/>
          <w:sz w:val="28"/>
          <w:szCs w:val="28"/>
        </w:rPr>
      </w:pPr>
      <w:r w:rsidRPr="00845DBC">
        <w:rPr>
          <w:rFonts w:ascii="楷体" w:eastAsia="楷体" w:hAnsi="楷体" w:cs="Times New Roman" w:hint="eastAsia"/>
          <w:sz w:val="28"/>
          <w:szCs w:val="28"/>
        </w:rPr>
        <w:t>本次评估目的是为公司本次交易提供合理的作价依据，评估机构实际评估的资产范围与委托评估的资产范围一致；评估机构在评估过</w:t>
      </w:r>
      <w:r w:rsidRPr="00845DBC">
        <w:rPr>
          <w:rFonts w:ascii="楷体" w:eastAsia="楷体" w:hAnsi="楷体" w:cs="Times New Roman" w:hint="eastAsia"/>
          <w:sz w:val="28"/>
          <w:szCs w:val="28"/>
        </w:rPr>
        <w:lastRenderedPageBreak/>
        <w:t>程中实施了相应的评估程序，遵循了客观、独立、公正、科学的原则，运用了合规且符合标的资产实际情况的评估方法，选用的参考数据、资料可靠；评估结果客观、公正地反映了评估基准日评估对象的实际状况，评估方法与评估目的的相关性一致。</w:t>
      </w:r>
    </w:p>
    <w:p w14:paraId="64DD1D33" w14:textId="32F99A23" w:rsidR="00845DBC" w:rsidRPr="00845DBC" w:rsidRDefault="00845DBC" w:rsidP="00845DBC">
      <w:pPr>
        <w:spacing w:line="440" w:lineRule="exact"/>
        <w:ind w:firstLineChars="200" w:firstLine="560"/>
        <w:rPr>
          <w:rFonts w:ascii="楷体" w:eastAsia="楷体" w:hAnsi="楷体" w:cs="Times New Roman"/>
          <w:sz w:val="28"/>
          <w:szCs w:val="28"/>
        </w:rPr>
      </w:pPr>
      <w:bookmarkStart w:id="4" w:name="a3"/>
      <w:r>
        <w:rPr>
          <w:rFonts w:ascii="楷体" w:eastAsia="楷体" w:hAnsi="楷体" w:cs="Times New Roman" w:hint="eastAsia"/>
          <w:sz w:val="28"/>
          <w:szCs w:val="28"/>
        </w:rPr>
        <w:t>四、</w:t>
      </w:r>
      <w:r w:rsidRPr="00845DBC">
        <w:rPr>
          <w:rFonts w:ascii="楷体" w:eastAsia="楷体" w:hAnsi="楷体" w:cs="Times New Roman" w:hint="eastAsia"/>
          <w:sz w:val="28"/>
          <w:szCs w:val="28"/>
        </w:rPr>
        <w:t>评估定价的公允性</w:t>
      </w:r>
      <w:bookmarkEnd w:id="4"/>
    </w:p>
    <w:p w14:paraId="11B6275D" w14:textId="5B88E639" w:rsidR="00845DBC" w:rsidRPr="00845DBC" w:rsidRDefault="00845DBC" w:rsidP="00845DBC">
      <w:pPr>
        <w:spacing w:line="440" w:lineRule="exact"/>
        <w:ind w:firstLineChars="200" w:firstLine="560"/>
        <w:rPr>
          <w:rFonts w:ascii="楷体" w:eastAsia="楷体" w:hAnsi="楷体" w:cs="Times New Roman"/>
          <w:sz w:val="28"/>
          <w:szCs w:val="28"/>
        </w:rPr>
      </w:pPr>
      <w:r w:rsidRPr="00845DBC">
        <w:rPr>
          <w:rFonts w:ascii="楷体" w:eastAsia="楷体" w:hAnsi="楷体" w:cs="Times New Roman" w:hint="eastAsia"/>
          <w:sz w:val="28"/>
          <w:szCs w:val="28"/>
        </w:rPr>
        <w:t>本次交易标的资产以具有证券业务资格的资产评估机构出具的评估报告的评估结果作为定价依据，交易定价方式合理。本次交易聘请的评估机构符合独立性要求，具备相应的业务资格和胜任能力，评估方法选取理由充分，具体工作中按资产评估准则等法规要求执行了现场核查，取得了相应的证据资料，评估定价具备公允性。</w:t>
      </w:r>
    </w:p>
    <w:p w14:paraId="1410DB9A" w14:textId="3E051283" w:rsidR="00845DBC" w:rsidRPr="00845DBC" w:rsidRDefault="00845DBC" w:rsidP="00845DBC">
      <w:pPr>
        <w:spacing w:line="440" w:lineRule="exact"/>
        <w:ind w:firstLineChars="200" w:firstLine="560"/>
        <w:rPr>
          <w:rFonts w:ascii="楷体" w:eastAsia="楷体" w:hAnsi="楷体" w:cs="Times New Roman"/>
          <w:sz w:val="28"/>
          <w:szCs w:val="28"/>
        </w:rPr>
      </w:pPr>
      <w:r w:rsidRPr="00845DBC">
        <w:rPr>
          <w:rFonts w:ascii="楷体" w:eastAsia="楷体" w:hAnsi="楷体" w:cs="Times New Roman" w:hint="eastAsia"/>
          <w:sz w:val="28"/>
          <w:szCs w:val="28"/>
        </w:rPr>
        <w:t>本次交易涉及的标的资产的价格以评估机构出具的有关评估报告所确认的评估结果为依据，由公司与交易对方协商确定，公司本次股份发行价格符合相关法律法规的规定，本次交易的定价符合相关法律法规及《公司章程》的规定，定价公允，程序公正，不存在损害上市公司及其股东利益的情形。</w:t>
      </w:r>
    </w:p>
    <w:p w14:paraId="06DC8C2C" w14:textId="18A01090" w:rsidR="00AD67FA" w:rsidRPr="00845DBC" w:rsidRDefault="00AD67FA">
      <w:pPr>
        <w:spacing w:line="440" w:lineRule="exact"/>
        <w:ind w:firstLineChars="200" w:firstLine="560"/>
        <w:rPr>
          <w:rFonts w:ascii="楷体" w:eastAsia="楷体" w:hAnsi="楷体" w:cs="Times New Roman"/>
          <w:sz w:val="28"/>
          <w:szCs w:val="28"/>
        </w:rPr>
      </w:pPr>
    </w:p>
    <w:p w14:paraId="55FA2284" w14:textId="77777777" w:rsidR="00AD67FA" w:rsidRDefault="00AD67FA">
      <w:pPr>
        <w:spacing w:line="440" w:lineRule="exact"/>
        <w:ind w:firstLineChars="200" w:firstLine="560"/>
        <w:rPr>
          <w:rFonts w:ascii="楷体" w:eastAsia="楷体" w:hAnsi="楷体" w:cs="Times New Roman"/>
          <w:sz w:val="28"/>
          <w:szCs w:val="28"/>
        </w:rPr>
      </w:pPr>
    </w:p>
    <w:p w14:paraId="780AF412" w14:textId="77777777" w:rsidR="00AD67FA" w:rsidRDefault="00AD67FA">
      <w:pPr>
        <w:spacing w:line="440" w:lineRule="exact"/>
        <w:ind w:firstLineChars="200" w:firstLine="560"/>
        <w:rPr>
          <w:rFonts w:ascii="楷体" w:eastAsia="楷体" w:hAnsi="楷体" w:cs="Times New Roman"/>
          <w:sz w:val="28"/>
          <w:szCs w:val="28"/>
        </w:rPr>
      </w:pPr>
    </w:p>
    <w:p w14:paraId="574259BD" w14:textId="77777777" w:rsidR="00AD67FA" w:rsidRDefault="00AD67FA">
      <w:pPr>
        <w:spacing w:line="440" w:lineRule="exact"/>
        <w:ind w:firstLineChars="200" w:firstLine="560"/>
        <w:rPr>
          <w:rFonts w:ascii="楷体" w:eastAsia="楷体" w:hAnsi="楷体" w:cs="Times New Roman"/>
          <w:sz w:val="28"/>
          <w:szCs w:val="28"/>
        </w:rPr>
      </w:pPr>
    </w:p>
    <w:bookmarkEnd w:id="0"/>
    <w:p w14:paraId="27798399" w14:textId="77777777" w:rsidR="00AD67FA" w:rsidRDefault="00B7585D">
      <w:pPr>
        <w:autoSpaceDE w:val="0"/>
        <w:autoSpaceDN w:val="0"/>
        <w:adjustRightInd w:val="0"/>
        <w:spacing w:line="500" w:lineRule="exact"/>
        <w:jc w:val="right"/>
        <w:rPr>
          <w:rFonts w:ascii="Times New Roman" w:eastAsia="楷体" w:hAnsi="Times New Roman" w:cs="Times New Roman"/>
          <w:sz w:val="28"/>
          <w:szCs w:val="28"/>
        </w:rPr>
      </w:pPr>
      <w:r>
        <w:rPr>
          <w:rFonts w:ascii="Times New Roman" w:eastAsia="楷体" w:hAnsi="Times New Roman" w:cs="Times New Roman"/>
          <w:sz w:val="28"/>
          <w:szCs w:val="28"/>
        </w:rPr>
        <w:t>北京京城机电股份有限公司</w:t>
      </w:r>
    </w:p>
    <w:p w14:paraId="7BBA598C" w14:textId="77777777" w:rsidR="00AD67FA" w:rsidRDefault="00B7585D">
      <w:pPr>
        <w:autoSpaceDE w:val="0"/>
        <w:autoSpaceDN w:val="0"/>
        <w:adjustRightInd w:val="0"/>
        <w:spacing w:line="500" w:lineRule="exact"/>
        <w:jc w:val="right"/>
        <w:rPr>
          <w:rFonts w:ascii="Times New Roman" w:eastAsia="楷体" w:hAnsi="Times New Roman" w:cs="Times New Roman"/>
          <w:sz w:val="28"/>
          <w:szCs w:val="28"/>
        </w:rPr>
      </w:pPr>
      <w:r>
        <w:rPr>
          <w:rFonts w:ascii="Times New Roman" w:eastAsia="楷体" w:hAnsi="Times New Roman" w:cs="Times New Roman"/>
          <w:sz w:val="28"/>
          <w:szCs w:val="28"/>
        </w:rPr>
        <w:t>第</w:t>
      </w:r>
      <w:r>
        <w:rPr>
          <w:rFonts w:ascii="Times New Roman" w:eastAsia="楷体" w:hAnsi="Times New Roman" w:cs="Times New Roman" w:hint="eastAsia"/>
          <w:sz w:val="28"/>
          <w:szCs w:val="28"/>
        </w:rPr>
        <w:t>十</w:t>
      </w:r>
      <w:r>
        <w:rPr>
          <w:rFonts w:ascii="Times New Roman" w:eastAsia="楷体" w:hAnsi="Times New Roman" w:cs="Times New Roman"/>
          <w:sz w:val="28"/>
          <w:szCs w:val="28"/>
        </w:rPr>
        <w:t>届董事会独立非执行董事</w:t>
      </w:r>
    </w:p>
    <w:p w14:paraId="370A4F50" w14:textId="77777777" w:rsidR="00AD67FA" w:rsidRDefault="00B7585D">
      <w:pPr>
        <w:autoSpaceDE w:val="0"/>
        <w:autoSpaceDN w:val="0"/>
        <w:adjustRightInd w:val="0"/>
        <w:spacing w:line="500" w:lineRule="exact"/>
        <w:jc w:val="right"/>
        <w:rPr>
          <w:rFonts w:ascii="Times New Roman" w:eastAsia="楷体" w:hAnsi="Times New Roman" w:cs="Times New Roman"/>
          <w:sz w:val="28"/>
          <w:szCs w:val="28"/>
        </w:rPr>
      </w:pPr>
      <w:r>
        <w:rPr>
          <w:rFonts w:ascii="Times New Roman" w:eastAsia="楷体" w:hAnsi="Times New Roman" w:cs="Times New Roman"/>
          <w:sz w:val="28"/>
          <w:szCs w:val="28"/>
        </w:rPr>
        <w:t>熊建辉、赵旭光、刘景泰、栾大龙</w:t>
      </w:r>
    </w:p>
    <w:p w14:paraId="219188DB" w14:textId="3260DBEF" w:rsidR="00AD67FA" w:rsidRDefault="00B7585D">
      <w:pPr>
        <w:spacing w:line="500" w:lineRule="exact"/>
        <w:ind w:firstLineChars="1900" w:firstLine="5320"/>
        <w:rPr>
          <w:rFonts w:ascii="楷体" w:eastAsia="楷体" w:hAnsi="楷体"/>
          <w:sz w:val="28"/>
          <w:szCs w:val="28"/>
        </w:rPr>
      </w:pPr>
      <w:r>
        <w:rPr>
          <w:rFonts w:ascii="Times New Roman" w:eastAsia="楷体" w:hAnsi="Times New Roman" w:cs="Times New Roman"/>
          <w:sz w:val="28"/>
          <w:szCs w:val="28"/>
        </w:rPr>
        <w:t>202</w:t>
      </w:r>
      <w:r w:rsidR="00F965E2">
        <w:rPr>
          <w:rFonts w:ascii="Times New Roman" w:eastAsia="楷体" w:hAnsi="Times New Roman" w:cs="Times New Roman"/>
          <w:sz w:val="28"/>
          <w:szCs w:val="28"/>
        </w:rPr>
        <w:t>1</w:t>
      </w:r>
      <w:r>
        <w:rPr>
          <w:rFonts w:ascii="Times New Roman" w:eastAsia="楷体" w:hAnsi="Times New Roman" w:cs="Times New Roman"/>
          <w:sz w:val="28"/>
          <w:szCs w:val="28"/>
        </w:rPr>
        <w:t>年</w:t>
      </w:r>
      <w:r w:rsidR="0066371B">
        <w:rPr>
          <w:rFonts w:ascii="Times New Roman" w:eastAsia="楷体" w:hAnsi="Times New Roman" w:cs="Times New Roman"/>
          <w:sz w:val="28"/>
          <w:szCs w:val="28"/>
        </w:rPr>
        <w:t>9</w:t>
      </w:r>
      <w:r>
        <w:rPr>
          <w:rFonts w:ascii="Times New Roman" w:eastAsia="楷体" w:hAnsi="Times New Roman" w:cs="Times New Roman"/>
          <w:sz w:val="28"/>
          <w:szCs w:val="28"/>
        </w:rPr>
        <w:t>月</w:t>
      </w:r>
      <w:r w:rsidR="0087514E">
        <w:rPr>
          <w:rFonts w:ascii="Times New Roman" w:eastAsia="楷体" w:hAnsi="Times New Roman" w:cs="Times New Roman" w:hint="eastAsia"/>
          <w:sz w:val="28"/>
          <w:szCs w:val="28"/>
        </w:rPr>
        <w:t>3</w:t>
      </w:r>
      <w:r>
        <w:rPr>
          <w:rFonts w:ascii="Times New Roman" w:eastAsia="楷体" w:hAnsi="Times New Roman" w:cs="Times New Roman"/>
          <w:sz w:val="28"/>
          <w:szCs w:val="28"/>
        </w:rPr>
        <w:t>日</w:t>
      </w:r>
    </w:p>
    <w:sectPr w:rsidR="00AD67F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E7709F" w14:textId="77777777" w:rsidR="001F6047" w:rsidRDefault="001F6047" w:rsidP="00845DBC">
      <w:r>
        <w:separator/>
      </w:r>
    </w:p>
  </w:endnote>
  <w:endnote w:type="continuationSeparator" w:id="0">
    <w:p w14:paraId="718C5CA8" w14:textId="77777777" w:rsidR="001F6047" w:rsidRDefault="001F6047" w:rsidP="00845D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D18B3C" w14:textId="77777777" w:rsidR="001F6047" w:rsidRDefault="001F6047" w:rsidP="00845DBC">
      <w:r>
        <w:separator/>
      </w:r>
    </w:p>
  </w:footnote>
  <w:footnote w:type="continuationSeparator" w:id="0">
    <w:p w14:paraId="22568C85" w14:textId="77777777" w:rsidR="001F6047" w:rsidRDefault="001F6047" w:rsidP="00845D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1F446040"/>
    <w:rsid w:val="9FFDA320"/>
    <w:rsid w:val="F537020A"/>
    <w:rsid w:val="FEFD032D"/>
    <w:rsid w:val="0015236D"/>
    <w:rsid w:val="00191635"/>
    <w:rsid w:val="001A0A9B"/>
    <w:rsid w:val="001A631F"/>
    <w:rsid w:val="001B28C8"/>
    <w:rsid w:val="001F0729"/>
    <w:rsid w:val="001F6047"/>
    <w:rsid w:val="001F7477"/>
    <w:rsid w:val="0021205C"/>
    <w:rsid w:val="00252632"/>
    <w:rsid w:val="002D2D99"/>
    <w:rsid w:val="00331E1F"/>
    <w:rsid w:val="003635B9"/>
    <w:rsid w:val="003753B4"/>
    <w:rsid w:val="00380BC7"/>
    <w:rsid w:val="003E0177"/>
    <w:rsid w:val="003F202E"/>
    <w:rsid w:val="003F549D"/>
    <w:rsid w:val="0040282E"/>
    <w:rsid w:val="00420FC3"/>
    <w:rsid w:val="00475F0B"/>
    <w:rsid w:val="004F3482"/>
    <w:rsid w:val="00507834"/>
    <w:rsid w:val="005209F1"/>
    <w:rsid w:val="00557598"/>
    <w:rsid w:val="005C18BE"/>
    <w:rsid w:val="005E74EC"/>
    <w:rsid w:val="00621064"/>
    <w:rsid w:val="006332B3"/>
    <w:rsid w:val="0066371B"/>
    <w:rsid w:val="006850B7"/>
    <w:rsid w:val="006C357C"/>
    <w:rsid w:val="006D22CB"/>
    <w:rsid w:val="007013DD"/>
    <w:rsid w:val="0071062C"/>
    <w:rsid w:val="007547FD"/>
    <w:rsid w:val="00774611"/>
    <w:rsid w:val="007B526E"/>
    <w:rsid w:val="00804409"/>
    <w:rsid w:val="008332F9"/>
    <w:rsid w:val="00845DBC"/>
    <w:rsid w:val="0087514E"/>
    <w:rsid w:val="00882C3A"/>
    <w:rsid w:val="009137F1"/>
    <w:rsid w:val="009B387C"/>
    <w:rsid w:val="009E0AD0"/>
    <w:rsid w:val="00A4084B"/>
    <w:rsid w:val="00AA7DB9"/>
    <w:rsid w:val="00AD4868"/>
    <w:rsid w:val="00AD48D3"/>
    <w:rsid w:val="00AD67FA"/>
    <w:rsid w:val="00B020B4"/>
    <w:rsid w:val="00B44204"/>
    <w:rsid w:val="00B52F7E"/>
    <w:rsid w:val="00B7585D"/>
    <w:rsid w:val="00BF4295"/>
    <w:rsid w:val="00C4491B"/>
    <w:rsid w:val="00C61B6F"/>
    <w:rsid w:val="00D25861"/>
    <w:rsid w:val="00D62532"/>
    <w:rsid w:val="00D64280"/>
    <w:rsid w:val="00DD1905"/>
    <w:rsid w:val="00E61651"/>
    <w:rsid w:val="00E91BE3"/>
    <w:rsid w:val="00EB1C6C"/>
    <w:rsid w:val="00EF43D7"/>
    <w:rsid w:val="00F41151"/>
    <w:rsid w:val="00F4357A"/>
    <w:rsid w:val="00F965E2"/>
    <w:rsid w:val="00FA0844"/>
    <w:rsid w:val="00FB3BEF"/>
    <w:rsid w:val="00FD0404"/>
    <w:rsid w:val="00FD31B0"/>
    <w:rsid w:val="1F446040"/>
    <w:rsid w:val="335700A7"/>
    <w:rsid w:val="479A391E"/>
    <w:rsid w:val="5A092221"/>
    <w:rsid w:val="698028F5"/>
    <w:rsid w:val="6B312394"/>
    <w:rsid w:val="6CFFBF16"/>
    <w:rsid w:val="6F6862EF"/>
    <w:rsid w:val="701D1405"/>
    <w:rsid w:val="7A7641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26893C8"/>
  <w15:docId w15:val="{8739C746-C672-45DB-9C58-04D1FB0EB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rsid w:val="00845DBC"/>
    <w:pPr>
      <w:keepNext/>
      <w:keepLines/>
      <w:spacing w:before="340" w:after="330" w:line="578" w:lineRule="auto"/>
      <w:outlineLvl w:val="0"/>
    </w:pPr>
    <w:rPr>
      <w:b/>
      <w:bCs/>
      <w:kern w:val="44"/>
      <w:sz w:val="44"/>
      <w:szCs w:val="4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semiHidden/>
    <w:unhideWhenUsed/>
    <w:pPr>
      <w:spacing w:beforeAutospacing="1" w:afterAutospacing="1"/>
      <w:jc w:val="left"/>
    </w:pPr>
    <w:rPr>
      <w:rFonts w:cs="Times New Roman"/>
      <w:kern w:val="0"/>
      <w:sz w:val="24"/>
    </w:rPr>
  </w:style>
  <w:style w:type="paragraph" w:styleId="ac">
    <w:name w:val="annotation subject"/>
    <w:basedOn w:val="a3"/>
    <w:next w:val="a3"/>
    <w:link w:val="ad"/>
    <w:unhideWhenUsed/>
    <w:qFormat/>
    <w:rPr>
      <w:b/>
      <w:bCs/>
    </w:rPr>
  </w:style>
  <w:style w:type="character" w:styleId="ae">
    <w:name w:val="annotation reference"/>
    <w:basedOn w:val="a0"/>
    <w:unhideWhenUsed/>
    <w:rPr>
      <w:sz w:val="21"/>
      <w:szCs w:val="21"/>
    </w:rPr>
  </w:style>
  <w:style w:type="character" w:customStyle="1" w:styleId="aa">
    <w:name w:val="页眉 字符"/>
    <w:basedOn w:val="a0"/>
    <w:link w:val="a9"/>
    <w:rPr>
      <w:kern w:val="2"/>
      <w:sz w:val="18"/>
      <w:szCs w:val="18"/>
    </w:rPr>
  </w:style>
  <w:style w:type="character" w:customStyle="1" w:styleId="a8">
    <w:name w:val="页脚 字符"/>
    <w:basedOn w:val="a0"/>
    <w:link w:val="a7"/>
    <w:rPr>
      <w:kern w:val="2"/>
      <w:sz w:val="18"/>
      <w:szCs w:val="18"/>
    </w:rPr>
  </w:style>
  <w:style w:type="character" w:customStyle="1" w:styleId="a4">
    <w:name w:val="批注文字 字符"/>
    <w:basedOn w:val="a0"/>
    <w:link w:val="a3"/>
    <w:semiHidden/>
    <w:qFormat/>
    <w:rPr>
      <w:kern w:val="2"/>
      <w:sz w:val="21"/>
      <w:szCs w:val="24"/>
    </w:rPr>
  </w:style>
  <w:style w:type="character" w:customStyle="1" w:styleId="ad">
    <w:name w:val="批注主题 字符"/>
    <w:basedOn w:val="a4"/>
    <w:link w:val="ac"/>
    <w:semiHidden/>
    <w:qFormat/>
    <w:rPr>
      <w:b/>
      <w:bCs/>
      <w:kern w:val="2"/>
      <w:sz w:val="21"/>
      <w:szCs w:val="24"/>
    </w:rPr>
  </w:style>
  <w:style w:type="character" w:customStyle="1" w:styleId="a6">
    <w:name w:val="批注框文本 字符"/>
    <w:basedOn w:val="a0"/>
    <w:link w:val="a5"/>
    <w:semiHidden/>
    <w:qFormat/>
    <w:rPr>
      <w:kern w:val="2"/>
      <w:sz w:val="18"/>
      <w:szCs w:val="18"/>
    </w:rPr>
  </w:style>
  <w:style w:type="paragraph" w:customStyle="1" w:styleId="11">
    <w:name w:val="列表段落1"/>
    <w:basedOn w:val="a"/>
    <w:uiPriority w:val="99"/>
    <w:unhideWhenUsed/>
    <w:qFormat/>
    <w:pPr>
      <w:ind w:firstLineChars="200" w:firstLine="420"/>
    </w:pPr>
  </w:style>
  <w:style w:type="paragraph" w:customStyle="1" w:styleId="af">
    <w:name w:val="文件正文"/>
    <w:qFormat/>
    <w:pPr>
      <w:spacing w:beforeLines="50" w:before="50" w:line="360" w:lineRule="auto"/>
      <w:ind w:firstLineChars="200" w:firstLine="200"/>
      <w:jc w:val="both"/>
    </w:pPr>
    <w:rPr>
      <w:rFonts w:ascii="Times New Roman" w:hAnsi="Times New Roman"/>
      <w:color w:val="000000"/>
      <w:kern w:val="2"/>
      <w:sz w:val="24"/>
      <w:szCs w:val="22"/>
    </w:rPr>
  </w:style>
  <w:style w:type="character" w:customStyle="1" w:styleId="10">
    <w:name w:val="标题 1 字符"/>
    <w:basedOn w:val="a0"/>
    <w:link w:val="1"/>
    <w:rsid w:val="00845DBC"/>
    <w:rPr>
      <w:rFonts w:asciiTheme="minorHAnsi" w:eastAsiaTheme="minorEastAsia" w:hAnsiTheme="minorHAnsi" w:cstheme="minorBidi"/>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8848329">
      <w:bodyDiv w:val="1"/>
      <w:marLeft w:val="0"/>
      <w:marRight w:val="0"/>
      <w:marTop w:val="0"/>
      <w:marBottom w:val="0"/>
      <w:divBdr>
        <w:top w:val="none" w:sz="0" w:space="0" w:color="auto"/>
        <w:left w:val="none" w:sz="0" w:space="0" w:color="auto"/>
        <w:bottom w:val="none" w:sz="0" w:space="0" w:color="auto"/>
        <w:right w:val="none" w:sz="0" w:space="0" w:color="auto"/>
      </w:divBdr>
    </w:div>
    <w:div w:id="1088115320">
      <w:bodyDiv w:val="1"/>
      <w:marLeft w:val="0"/>
      <w:marRight w:val="0"/>
      <w:marTop w:val="0"/>
      <w:marBottom w:val="0"/>
      <w:divBdr>
        <w:top w:val="none" w:sz="0" w:space="0" w:color="auto"/>
        <w:left w:val="none" w:sz="0" w:space="0" w:color="auto"/>
        <w:bottom w:val="none" w:sz="0" w:space="0" w:color="auto"/>
        <w:right w:val="none" w:sz="0" w:space="0" w:color="auto"/>
      </w:divBdr>
    </w:div>
    <w:div w:id="16441956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179</Words>
  <Characters>1025</Characters>
  <Application>Microsoft Office Word</Application>
  <DocSecurity>0</DocSecurity>
  <Lines>8</Lines>
  <Paragraphs>2</Paragraphs>
  <ScaleCrop>false</ScaleCrop>
  <Company>BTIC</Company>
  <LinksUpToDate>false</LinksUpToDate>
  <CharactersWithSpaces>1202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wangjing</dc:creator>
  <cp:lastModifiedBy>康达韦沛雨</cp:lastModifiedBy>
  <cp:revision>23</cp:revision>
  <dcterms:created xsi:type="dcterms:W3CDTF">2019-03-12T12:46:00Z</dcterms:created>
  <dcterms:modified xsi:type="dcterms:W3CDTF">2021-09-01T06:40:00Z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